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insurance cover from the Framework Start Date in accordance with this Schedule:</w:t>
      </w:r>
      <w:r w:rsidDel="00000000" w:rsidR="00000000" w:rsidRPr="00000000">
        <w:rPr>
          <w:rtl w:val="0"/>
        </w:rPr>
      </w:r>
    </w:p>
    <w:bookmarkStart w:colFirst="0" w:colLast="0" w:name="bookmark=id.3znysh7" w:id="3"/>
    <w:bookmarkEnd w:id="3"/>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nal indemnity insurance with cover (for a single event or a series of related events and in the aggregate) of not less than five million pounds (£5,000,000); </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five million pounds (£5,000,000); and</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with cover (for a single event or a series of related events and in the aggregate) of not less than five million pounds (£5,000,000). </w:t>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products’ liability insurance with cover (for a single event or a series of related events and in the aggregate) of not less than five million pounds (£5,000,000).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28">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32">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6g2N7l0o1z0mmRTgCCG4iiY7vg==">CgMxLjAyCGguZ2pkZ3hzMgloLjMwajB6bGwyCWguMWZvYjl0ZTIKaWQuM3pueXNoNzgAciExREl4NFpLSTBTN2VFN3Rqd0RPMS1SUDRKanJKTkNMRGU=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2020-06-17T11:24:00Z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